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063" w:rsidRDefault="003A31BE" w:rsidP="00301ED2">
      <w:pPr>
        <w:pStyle w:val="R0title"/>
      </w:pPr>
      <w:r>
        <w:t>Outcomes of internal audit work for Local Pensions Partnership Ltd during 2018/19</w:t>
      </w:r>
    </w:p>
    <w:p w:rsidR="00301ED2" w:rsidRDefault="003A31BE" w:rsidP="00301ED2">
      <w:pPr>
        <w:pStyle w:val="R1heading"/>
      </w:pPr>
      <w:r>
        <w:t>Background</w:t>
      </w:r>
    </w:p>
    <w:p w:rsidR="00301ED2" w:rsidRDefault="003A31BE" w:rsidP="00301ED2">
      <w:pPr>
        <w:pStyle w:val="R3paragraph"/>
      </w:pPr>
      <w:r>
        <w:t>At its meeting on 21 June 2019 the Pension Fund Committee received a report from the county council's internal audit service setting out the assurance available to it for 2018/19, including that from Local Pensions Partnership Ltd's (LPP) own internal auditor, Deloitte.</w:t>
      </w:r>
    </w:p>
    <w:p w:rsidR="00301ED2" w:rsidRDefault="003A31BE" w:rsidP="00301ED2">
      <w:pPr>
        <w:pStyle w:val="R3paragraph"/>
      </w:pPr>
      <w:r>
        <w:t>All seven of Deloitte's audits for 2018/19 have now been reported to LPP's Audit Committee and the outcomes can therefore be shared with the Pension Fund Committee.</w:t>
      </w:r>
    </w:p>
    <w:p w:rsidR="00301ED2" w:rsidRDefault="003A31BE" w:rsidP="00301ED2">
      <w:pPr>
        <w:pStyle w:val="R1heading"/>
      </w:pPr>
      <w:r>
        <w:t>The audits and the assurance provided by Deloitte</w:t>
      </w:r>
    </w:p>
    <w:p w:rsidR="00301ED2" w:rsidRDefault="003A31BE" w:rsidP="0092349E">
      <w:pPr>
        <w:pStyle w:val="R3paragraph"/>
      </w:pPr>
      <w:r w:rsidRPr="00DB6D52">
        <w:t xml:space="preserve">Deloitte </w:t>
      </w:r>
      <w:r>
        <w:t>disclaims any liability to the council for any reliance it may place on this work but has agreed that its conclusions may be reported to the Audit, Risk and Governance Committee.</w:t>
      </w:r>
    </w:p>
    <w:p w:rsidR="00301ED2" w:rsidRDefault="003A31BE" w:rsidP="0092349E">
      <w:pPr>
        <w:pStyle w:val="R3paragraph"/>
      </w:pPr>
      <w:r>
        <w:t>These are as follows:</w:t>
      </w:r>
    </w:p>
    <w:tbl>
      <w:tblPr>
        <w:tblStyle w:val="TableGrid"/>
        <w:tblW w:w="8470" w:type="dxa"/>
        <w:tblInd w:w="562" w:type="dxa"/>
        <w:tblLook w:val="04A0" w:firstRow="1" w:lastRow="0" w:firstColumn="1" w:lastColumn="0" w:noHBand="0" w:noVBand="1"/>
      </w:tblPr>
      <w:tblGrid>
        <w:gridCol w:w="5954"/>
        <w:gridCol w:w="2516"/>
      </w:tblGrid>
      <w:tr w:rsidR="00B33345" w:rsidTr="00301ED2">
        <w:trPr>
          <w:tblHeader/>
        </w:trPr>
        <w:tc>
          <w:tcPr>
            <w:tcW w:w="5954" w:type="dxa"/>
            <w:shd w:val="clear" w:color="auto" w:fill="D9D9D9" w:themeFill="background1" w:themeFillShade="D9"/>
          </w:tcPr>
          <w:p w:rsidR="00301ED2" w:rsidRPr="0092349E" w:rsidRDefault="003A31BE" w:rsidP="0092349E">
            <w:pPr>
              <w:pStyle w:val="R4blankparagraph"/>
              <w:spacing w:before="60" w:after="60"/>
              <w:rPr>
                <w:b/>
              </w:rPr>
            </w:pPr>
            <w:r w:rsidRPr="0092349E">
              <w:rPr>
                <w:b/>
              </w:rPr>
              <w:t>Control area</w:t>
            </w:r>
          </w:p>
        </w:tc>
        <w:tc>
          <w:tcPr>
            <w:tcW w:w="2516" w:type="dxa"/>
            <w:shd w:val="clear" w:color="auto" w:fill="D9D9D9" w:themeFill="background1" w:themeFillShade="D9"/>
          </w:tcPr>
          <w:p w:rsidR="00301ED2" w:rsidRPr="0092349E" w:rsidRDefault="003A31BE" w:rsidP="0092349E">
            <w:pPr>
              <w:pStyle w:val="R4blankparagraph"/>
              <w:spacing w:before="60" w:after="60"/>
              <w:rPr>
                <w:b/>
              </w:rPr>
            </w:pPr>
            <w:r w:rsidRPr="0092349E">
              <w:rPr>
                <w:b/>
              </w:rPr>
              <w:t>Assurance</w:t>
            </w:r>
          </w:p>
        </w:tc>
      </w:tr>
      <w:tr w:rsidR="00B33345" w:rsidTr="00301ED2">
        <w:tc>
          <w:tcPr>
            <w:tcW w:w="5954" w:type="dxa"/>
          </w:tcPr>
          <w:p w:rsidR="00301ED2" w:rsidRPr="00EC3F4D" w:rsidRDefault="003A31BE" w:rsidP="00301ED2">
            <w:pPr>
              <w:pStyle w:val="R4blankparagraph"/>
              <w:spacing w:before="40" w:after="40"/>
            </w:pPr>
            <w:r w:rsidRPr="00EC3F4D">
              <w:t>Benefits administration</w:t>
            </w:r>
            <w:r>
              <w:t>: calculation and payment of transfer values, retirement benefit and lump sums</w:t>
            </w:r>
          </w:p>
        </w:tc>
        <w:tc>
          <w:tcPr>
            <w:tcW w:w="2516" w:type="dxa"/>
          </w:tcPr>
          <w:p w:rsidR="00301ED2" w:rsidRPr="00EC3F4D" w:rsidRDefault="003A31BE" w:rsidP="00301ED2">
            <w:pPr>
              <w:pStyle w:val="R4blankparagraph"/>
              <w:spacing w:before="40" w:after="40"/>
            </w:pPr>
            <w:r w:rsidRPr="00EC3F4D">
              <w:t>Ineffective</w:t>
            </w:r>
          </w:p>
        </w:tc>
      </w:tr>
      <w:tr w:rsidR="00B33345" w:rsidTr="00301ED2">
        <w:tc>
          <w:tcPr>
            <w:tcW w:w="5954" w:type="dxa"/>
          </w:tcPr>
          <w:p w:rsidR="00301ED2" w:rsidRPr="00EC3F4D" w:rsidRDefault="003A31BE" w:rsidP="00FA372C">
            <w:pPr>
              <w:pStyle w:val="R4blankparagraph"/>
              <w:spacing w:before="40" w:after="40"/>
            </w:pPr>
            <w:r w:rsidRPr="00EC3F4D">
              <w:t xml:space="preserve">Investments: </w:t>
            </w:r>
            <w:r>
              <w:t>governance, horizon scanning, and design and implementation of the compliance monitoring programme for Local Pensions Partnership Investments Ltd (LPPI)</w:t>
            </w:r>
          </w:p>
        </w:tc>
        <w:tc>
          <w:tcPr>
            <w:tcW w:w="2516" w:type="dxa"/>
          </w:tcPr>
          <w:p w:rsidR="00301ED2" w:rsidRPr="00EC3F4D" w:rsidRDefault="003A31BE" w:rsidP="00301ED2">
            <w:pPr>
              <w:pStyle w:val="R4blankparagraph"/>
              <w:spacing w:before="40" w:after="40"/>
            </w:pPr>
            <w:r w:rsidRPr="00EC3F4D">
              <w:t>Ineffective</w:t>
            </w:r>
          </w:p>
        </w:tc>
      </w:tr>
      <w:tr w:rsidR="00B33345" w:rsidTr="00301ED2">
        <w:tc>
          <w:tcPr>
            <w:tcW w:w="5954" w:type="dxa"/>
          </w:tcPr>
          <w:p w:rsidR="00301ED2" w:rsidRPr="00301ED2" w:rsidRDefault="003A31BE" w:rsidP="00301ED2">
            <w:pPr>
              <w:pStyle w:val="R4blankparagraph"/>
              <w:spacing w:before="40" w:after="40"/>
            </w:pPr>
            <w:r w:rsidRPr="00301ED2">
              <w:t>Investments: Markets in Financial Instruments Directive (MIFID II) compliance</w:t>
            </w:r>
          </w:p>
        </w:tc>
        <w:tc>
          <w:tcPr>
            <w:tcW w:w="2516" w:type="dxa"/>
          </w:tcPr>
          <w:p w:rsidR="00301ED2" w:rsidRPr="00EC3F4D" w:rsidRDefault="003A31BE" w:rsidP="00301ED2">
            <w:pPr>
              <w:pStyle w:val="R4blankparagraph"/>
              <w:spacing w:before="40" w:after="40"/>
            </w:pPr>
            <w:r w:rsidRPr="00EC3F4D">
              <w:t>Effective</w:t>
            </w:r>
          </w:p>
        </w:tc>
      </w:tr>
      <w:tr w:rsidR="00B33345" w:rsidTr="00301ED2">
        <w:tc>
          <w:tcPr>
            <w:tcW w:w="5954" w:type="dxa"/>
          </w:tcPr>
          <w:p w:rsidR="00301ED2" w:rsidRPr="00301ED2" w:rsidRDefault="003A31BE" w:rsidP="00301ED2">
            <w:pPr>
              <w:pStyle w:val="R4blankparagraph"/>
              <w:spacing w:before="40" w:after="40"/>
            </w:pPr>
            <w:r w:rsidRPr="00EC3F4D">
              <w:t xml:space="preserve">Third party oversight of </w:t>
            </w:r>
            <w:r>
              <w:t>service providers to LPPI</w:t>
            </w:r>
          </w:p>
        </w:tc>
        <w:tc>
          <w:tcPr>
            <w:tcW w:w="2516" w:type="dxa"/>
          </w:tcPr>
          <w:p w:rsidR="00301ED2" w:rsidRPr="00EC3F4D" w:rsidRDefault="003A31BE" w:rsidP="00301ED2">
            <w:pPr>
              <w:pStyle w:val="R4blankparagraph"/>
              <w:spacing w:before="40" w:after="40"/>
            </w:pPr>
            <w:r w:rsidRPr="00EC3F4D">
              <w:t>Effective with scope for improvement</w:t>
            </w:r>
          </w:p>
        </w:tc>
      </w:tr>
      <w:tr w:rsidR="00B33345" w:rsidTr="00301ED2">
        <w:tc>
          <w:tcPr>
            <w:tcW w:w="5954" w:type="dxa"/>
          </w:tcPr>
          <w:p w:rsidR="00301ED2" w:rsidRPr="00301ED2" w:rsidRDefault="003A31BE" w:rsidP="00301ED2">
            <w:pPr>
              <w:pStyle w:val="R4blankparagraph"/>
              <w:spacing w:before="40" w:after="40"/>
            </w:pPr>
            <w:r w:rsidRPr="00301ED2">
              <w:t>General Data Protection Regulation readiness</w:t>
            </w:r>
          </w:p>
        </w:tc>
        <w:tc>
          <w:tcPr>
            <w:tcW w:w="2516" w:type="dxa"/>
          </w:tcPr>
          <w:p w:rsidR="00301ED2" w:rsidRPr="00EC3F4D" w:rsidRDefault="003A31BE" w:rsidP="00301ED2">
            <w:pPr>
              <w:pStyle w:val="R4blankparagraph"/>
              <w:spacing w:before="40" w:after="40"/>
            </w:pPr>
            <w:r w:rsidRPr="00EC3F4D">
              <w:t>Effective with scope for improvement</w:t>
            </w:r>
          </w:p>
        </w:tc>
      </w:tr>
      <w:tr w:rsidR="00B33345" w:rsidTr="00301ED2">
        <w:tc>
          <w:tcPr>
            <w:tcW w:w="5954" w:type="dxa"/>
          </w:tcPr>
          <w:p w:rsidR="00301ED2" w:rsidRPr="00EC3F4D" w:rsidRDefault="003A31BE" w:rsidP="00301ED2">
            <w:pPr>
              <w:pStyle w:val="R4blankparagraph"/>
              <w:spacing w:before="40" w:after="40"/>
            </w:pPr>
            <w:r w:rsidRPr="00EC3F4D">
              <w:t>Cyber security</w:t>
            </w:r>
            <w:r>
              <w:t>: assessment against National Cyber Security Centre’s ‘10 Steps to Cyber Security’</w:t>
            </w:r>
          </w:p>
        </w:tc>
        <w:tc>
          <w:tcPr>
            <w:tcW w:w="2516" w:type="dxa"/>
          </w:tcPr>
          <w:p w:rsidR="00301ED2" w:rsidRPr="00EC3F4D" w:rsidRDefault="003A31BE" w:rsidP="00301ED2">
            <w:pPr>
              <w:pStyle w:val="R4blankparagraph"/>
              <w:spacing w:before="40" w:after="40"/>
            </w:pPr>
            <w:r w:rsidRPr="00EC3F4D">
              <w:t>Ineffective</w:t>
            </w:r>
          </w:p>
        </w:tc>
      </w:tr>
      <w:tr w:rsidR="00B33345" w:rsidTr="00301ED2">
        <w:tc>
          <w:tcPr>
            <w:tcW w:w="5954" w:type="dxa"/>
          </w:tcPr>
          <w:p w:rsidR="00301ED2" w:rsidRPr="00EC3F4D" w:rsidRDefault="003A31BE" w:rsidP="00301ED2">
            <w:pPr>
              <w:pStyle w:val="R4blankparagraph"/>
              <w:spacing w:before="40" w:after="40"/>
            </w:pPr>
            <w:r w:rsidRPr="00EC3F4D">
              <w:t>Core financial controls: management information and reporting (within LPP)</w:t>
            </w:r>
          </w:p>
        </w:tc>
        <w:tc>
          <w:tcPr>
            <w:tcW w:w="2516" w:type="dxa"/>
          </w:tcPr>
          <w:p w:rsidR="00301ED2" w:rsidRPr="00EC3F4D" w:rsidRDefault="003A31BE" w:rsidP="00301ED2">
            <w:pPr>
              <w:pStyle w:val="R4blankparagraph"/>
              <w:spacing w:before="40" w:after="40"/>
            </w:pPr>
            <w:r w:rsidRPr="00EC3F4D">
              <w:t>Ineffective</w:t>
            </w:r>
          </w:p>
        </w:tc>
      </w:tr>
    </w:tbl>
    <w:p w:rsidR="00301ED2" w:rsidRDefault="00F8596B" w:rsidP="00301ED2">
      <w:pPr>
        <w:pStyle w:val="Rparagraph"/>
        <w:spacing w:before="0" w:after="0"/>
        <w:ind w:firstLine="0"/>
      </w:pPr>
    </w:p>
    <w:p w:rsidR="00301ED2" w:rsidRDefault="003A31BE" w:rsidP="00301ED2">
      <w:pPr>
        <w:pStyle w:val="Rparagraph"/>
        <w:numPr>
          <w:ilvl w:val="1"/>
          <w:numId w:val="3"/>
        </w:numPr>
        <w:spacing w:before="0"/>
        <w:ind w:left="567" w:hanging="567"/>
      </w:pPr>
      <w:r>
        <w:t xml:space="preserve">The council's internal audit service </w:t>
      </w:r>
      <w:r w:rsidRPr="0046437D">
        <w:t>understand</w:t>
      </w:r>
      <w:r>
        <w:t>s</w:t>
      </w:r>
      <w:r w:rsidRPr="0046437D">
        <w:t xml:space="preserve"> that these assessments were not unexpected by LPP's senior management team</w:t>
      </w:r>
      <w:r>
        <w:t>,</w:t>
      </w:r>
      <w:r w:rsidRPr="0046437D">
        <w:t xml:space="preserve"> as it has worked through a period of significant adjustment to its business that </w:t>
      </w:r>
      <w:r>
        <w:t>is</w:t>
      </w:r>
      <w:r w:rsidRPr="0046437D">
        <w:t xml:space="preserve"> c</w:t>
      </w:r>
      <w:r>
        <w:t>ontinuing</w:t>
      </w:r>
      <w:r w:rsidRPr="0046437D">
        <w:t xml:space="preserve"> into 2019/20. Some of the issues raised by the</w:t>
      </w:r>
      <w:r>
        <w:t>se</w:t>
      </w:r>
      <w:r w:rsidRPr="0046437D">
        <w:t xml:space="preserve"> audits had already been recognised and </w:t>
      </w:r>
      <w:r>
        <w:t>work has begun to address them within LPP and LPPI.</w:t>
      </w:r>
    </w:p>
    <w:p w:rsidR="00301ED2" w:rsidRDefault="003A31BE" w:rsidP="00301ED2">
      <w:pPr>
        <w:pStyle w:val="Rparagraph"/>
        <w:numPr>
          <w:ilvl w:val="1"/>
          <w:numId w:val="3"/>
        </w:numPr>
        <w:spacing w:before="0"/>
        <w:ind w:left="567" w:hanging="567"/>
      </w:pPr>
      <w:r>
        <w:t>It is also understood</w:t>
      </w:r>
      <w:r w:rsidRPr="0046437D">
        <w:t xml:space="preserve"> that action has been taken to address many of the matters arising from earlier audits</w:t>
      </w:r>
      <w:r>
        <w:t>,</w:t>
      </w:r>
      <w:r w:rsidRPr="0046437D">
        <w:t xml:space="preserve"> and any future internal audit work plans will </w:t>
      </w:r>
      <w:r>
        <w:t xml:space="preserve">therefore </w:t>
      </w:r>
      <w:r w:rsidRPr="0046437D">
        <w:lastRenderedPageBreak/>
        <w:t>firstly seek assurance that the 'ineffective' functions will be re-tested to ensure the risks have been mitigated.</w:t>
      </w:r>
    </w:p>
    <w:p w:rsidR="00825096" w:rsidRDefault="003A31BE" w:rsidP="00825096">
      <w:pPr>
        <w:pStyle w:val="R2sub-heading"/>
      </w:pPr>
      <w:r>
        <w:t>Response from LPP's management</w:t>
      </w:r>
    </w:p>
    <w:p w:rsidR="00825096" w:rsidRDefault="003A31BE" w:rsidP="00825096">
      <w:pPr>
        <w:pStyle w:val="Rparagraph"/>
        <w:numPr>
          <w:ilvl w:val="1"/>
          <w:numId w:val="3"/>
        </w:numPr>
        <w:spacing w:before="0"/>
        <w:ind w:left="567" w:hanging="567"/>
      </w:pPr>
      <w:r>
        <w:t>LPP’s senior management team recognised that improvements to the management of internal audit activity required improvement and consequently moved responsibility for its management to the Chief Risk Officer with support from the newly recruited Deputy Chief Risk Officer. LPP and LPPI’s Boards have required greater internal accountability for the progress of internal audit findings and the LPP Executive team is setting appropriate priorities and dedicating required resource in order to close audit findings</w:t>
      </w:r>
    </w:p>
    <w:p w:rsidR="009351FF" w:rsidRDefault="003A31BE" w:rsidP="009351FF">
      <w:pPr>
        <w:pStyle w:val="R1heading"/>
      </w:pPr>
      <w:r>
        <w:t>Assurance over the council's oversight of the Pension Fund</w:t>
      </w:r>
    </w:p>
    <w:p w:rsidR="009351FF" w:rsidRPr="0046437D" w:rsidRDefault="003A31BE" w:rsidP="009351FF">
      <w:pPr>
        <w:pStyle w:val="R3paragraph"/>
      </w:pPr>
      <w:r>
        <w:t>It should be noted that, as has already been reported, substantial assurance has been given by the council's own internal audit service that the council's oversight of the Pension Fund and of LPP is adequate and effective.</w:t>
      </w:r>
    </w:p>
    <w:sectPr w:rsidR="009351FF" w:rsidRPr="0046437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7AC" w:rsidRDefault="003A31BE">
      <w:r>
        <w:separator/>
      </w:r>
    </w:p>
  </w:endnote>
  <w:endnote w:type="continuationSeparator" w:id="0">
    <w:p w:rsidR="00F447AC" w:rsidRDefault="003A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047" w:rsidRDefault="00F859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047" w:rsidRDefault="00F859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047" w:rsidRDefault="00F85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7AC" w:rsidRDefault="003A31BE">
      <w:r>
        <w:separator/>
      </w:r>
    </w:p>
  </w:footnote>
  <w:footnote w:type="continuationSeparator" w:id="0">
    <w:p w:rsidR="00F447AC" w:rsidRDefault="003A3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047" w:rsidRDefault="00F859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CDB" w:rsidRPr="00F20323" w:rsidRDefault="003A31BE" w:rsidP="00BB6309">
    <w:pPr>
      <w:pStyle w:val="Header"/>
      <w:tabs>
        <w:tab w:val="clear" w:pos="4513"/>
      </w:tabs>
      <w:rPr>
        <w:rFonts w:cs="Arial"/>
        <w:b/>
      </w:rPr>
    </w:pPr>
    <w:bookmarkStart w:id="0" w:name="_GoBack"/>
    <w:bookmarkEnd w:id="0"/>
    <w:r>
      <w:rPr>
        <w:rFonts w:cs="Arial"/>
        <w: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047" w:rsidRDefault="00F859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52CDE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0E5D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966C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5017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2883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C6D4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7C15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EA39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8AAA42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E52CA4"/>
    <w:multiLevelType w:val="multilevel"/>
    <w:tmpl w:val="976CB93E"/>
    <w:styleLink w:val="Ruthstandard"/>
    <w:lvl w:ilvl="0">
      <w:start w:val="1"/>
      <w:numFmt w:val="decimal"/>
      <w:lvlText w:val="%1."/>
      <w:lvlJc w:val="left"/>
      <w:pPr>
        <w:ind w:left="360" w:hanging="360"/>
      </w:pPr>
      <w:rPr>
        <w:rFonts w:ascii="Arial" w:hAnsi="Arial"/>
        <w:caps w:val="0"/>
        <w:smallCaps w:val="0"/>
        <w:strike w:val="0"/>
        <w:dstrike w:val="0"/>
        <w:vanish w:val="0"/>
        <w:sz w:val="28"/>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61A4062"/>
    <w:multiLevelType w:val="hybridMultilevel"/>
    <w:tmpl w:val="513AA548"/>
    <w:lvl w:ilvl="0" w:tplc="5F4AF170">
      <w:start w:val="1"/>
      <w:numFmt w:val="decimal"/>
      <w:lvlText w:val="%1."/>
      <w:lvlJc w:val="left"/>
      <w:pPr>
        <w:ind w:left="720" w:hanging="360"/>
      </w:pPr>
      <w:rPr>
        <w:rFonts w:ascii="Arial" w:hAnsi="Arial" w:hint="default"/>
        <w:b w:val="0"/>
        <w:i w:val="0"/>
        <w:caps w:val="0"/>
        <w:strike w:val="0"/>
        <w:dstrike w:val="0"/>
        <w:vanish w:val="0"/>
        <w:color w:val="auto"/>
        <w:sz w:val="24"/>
        <w:vertAlign w:val="baseline"/>
      </w:rPr>
    </w:lvl>
    <w:lvl w:ilvl="1" w:tplc="F5205B6E" w:tentative="1">
      <w:start w:val="1"/>
      <w:numFmt w:val="lowerLetter"/>
      <w:lvlText w:val="%2."/>
      <w:lvlJc w:val="left"/>
      <w:pPr>
        <w:ind w:left="1440" w:hanging="360"/>
      </w:pPr>
    </w:lvl>
    <w:lvl w:ilvl="2" w:tplc="FC586B2E" w:tentative="1">
      <w:start w:val="1"/>
      <w:numFmt w:val="lowerRoman"/>
      <w:lvlText w:val="%3."/>
      <w:lvlJc w:val="right"/>
      <w:pPr>
        <w:ind w:left="2160" w:hanging="180"/>
      </w:pPr>
    </w:lvl>
    <w:lvl w:ilvl="3" w:tplc="361C199C" w:tentative="1">
      <w:start w:val="1"/>
      <w:numFmt w:val="decimal"/>
      <w:lvlText w:val="%4."/>
      <w:lvlJc w:val="left"/>
      <w:pPr>
        <w:ind w:left="2880" w:hanging="360"/>
      </w:pPr>
    </w:lvl>
    <w:lvl w:ilvl="4" w:tplc="CDFCC950" w:tentative="1">
      <w:start w:val="1"/>
      <w:numFmt w:val="lowerLetter"/>
      <w:lvlText w:val="%5."/>
      <w:lvlJc w:val="left"/>
      <w:pPr>
        <w:ind w:left="3600" w:hanging="360"/>
      </w:pPr>
    </w:lvl>
    <w:lvl w:ilvl="5" w:tplc="C0B2EBAC" w:tentative="1">
      <w:start w:val="1"/>
      <w:numFmt w:val="lowerRoman"/>
      <w:lvlText w:val="%6."/>
      <w:lvlJc w:val="right"/>
      <w:pPr>
        <w:ind w:left="4320" w:hanging="180"/>
      </w:pPr>
    </w:lvl>
    <w:lvl w:ilvl="6" w:tplc="CD027E16" w:tentative="1">
      <w:start w:val="1"/>
      <w:numFmt w:val="decimal"/>
      <w:lvlText w:val="%7."/>
      <w:lvlJc w:val="left"/>
      <w:pPr>
        <w:ind w:left="5040" w:hanging="360"/>
      </w:pPr>
    </w:lvl>
    <w:lvl w:ilvl="7" w:tplc="B6043050" w:tentative="1">
      <w:start w:val="1"/>
      <w:numFmt w:val="lowerLetter"/>
      <w:lvlText w:val="%8."/>
      <w:lvlJc w:val="left"/>
      <w:pPr>
        <w:ind w:left="5760" w:hanging="360"/>
      </w:pPr>
    </w:lvl>
    <w:lvl w:ilvl="8" w:tplc="B4F4A426" w:tentative="1">
      <w:start w:val="1"/>
      <w:numFmt w:val="lowerRoman"/>
      <w:lvlText w:val="%9."/>
      <w:lvlJc w:val="right"/>
      <w:pPr>
        <w:ind w:left="6480" w:hanging="180"/>
      </w:pPr>
    </w:lvl>
  </w:abstractNum>
  <w:abstractNum w:abstractNumId="11" w15:restartNumberingAfterBreak="0">
    <w:nsid w:val="31293341"/>
    <w:multiLevelType w:val="multilevel"/>
    <w:tmpl w:val="B426CB4E"/>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b w:val="0"/>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43EB58E9"/>
    <w:multiLevelType w:val="hybridMultilevel"/>
    <w:tmpl w:val="D0A85866"/>
    <w:lvl w:ilvl="0" w:tplc="96524D18">
      <w:start w:val="1"/>
      <w:numFmt w:val="bullet"/>
      <w:pStyle w:val="R6sub-bullet"/>
      <w:lvlText w:val="˗"/>
      <w:lvlJc w:val="left"/>
      <w:pPr>
        <w:ind w:left="2083" w:hanging="360"/>
      </w:pPr>
      <w:rPr>
        <w:rFonts w:ascii="Arial" w:hAnsi="Arial" w:hint="default"/>
      </w:rPr>
    </w:lvl>
    <w:lvl w:ilvl="1" w:tplc="0E7E7B2A" w:tentative="1">
      <w:start w:val="1"/>
      <w:numFmt w:val="bullet"/>
      <w:lvlText w:val="o"/>
      <w:lvlJc w:val="left"/>
      <w:pPr>
        <w:ind w:left="2803" w:hanging="360"/>
      </w:pPr>
      <w:rPr>
        <w:rFonts w:ascii="Courier New" w:hAnsi="Courier New" w:cs="Courier New" w:hint="default"/>
      </w:rPr>
    </w:lvl>
    <w:lvl w:ilvl="2" w:tplc="6B7854B2" w:tentative="1">
      <w:start w:val="1"/>
      <w:numFmt w:val="bullet"/>
      <w:lvlText w:val=""/>
      <w:lvlJc w:val="left"/>
      <w:pPr>
        <w:ind w:left="3523" w:hanging="360"/>
      </w:pPr>
      <w:rPr>
        <w:rFonts w:ascii="Wingdings" w:hAnsi="Wingdings" w:hint="default"/>
      </w:rPr>
    </w:lvl>
    <w:lvl w:ilvl="3" w:tplc="C304FAE2" w:tentative="1">
      <w:start w:val="1"/>
      <w:numFmt w:val="bullet"/>
      <w:lvlText w:val=""/>
      <w:lvlJc w:val="left"/>
      <w:pPr>
        <w:ind w:left="4243" w:hanging="360"/>
      </w:pPr>
      <w:rPr>
        <w:rFonts w:ascii="Symbol" w:hAnsi="Symbol" w:hint="default"/>
      </w:rPr>
    </w:lvl>
    <w:lvl w:ilvl="4" w:tplc="78F60EAA" w:tentative="1">
      <w:start w:val="1"/>
      <w:numFmt w:val="bullet"/>
      <w:lvlText w:val="o"/>
      <w:lvlJc w:val="left"/>
      <w:pPr>
        <w:ind w:left="4963" w:hanging="360"/>
      </w:pPr>
      <w:rPr>
        <w:rFonts w:ascii="Courier New" w:hAnsi="Courier New" w:cs="Courier New" w:hint="default"/>
      </w:rPr>
    </w:lvl>
    <w:lvl w:ilvl="5" w:tplc="CA6E8AC6" w:tentative="1">
      <w:start w:val="1"/>
      <w:numFmt w:val="bullet"/>
      <w:lvlText w:val=""/>
      <w:lvlJc w:val="left"/>
      <w:pPr>
        <w:ind w:left="5683" w:hanging="360"/>
      </w:pPr>
      <w:rPr>
        <w:rFonts w:ascii="Wingdings" w:hAnsi="Wingdings" w:hint="default"/>
      </w:rPr>
    </w:lvl>
    <w:lvl w:ilvl="6" w:tplc="46045AAE" w:tentative="1">
      <w:start w:val="1"/>
      <w:numFmt w:val="bullet"/>
      <w:lvlText w:val=""/>
      <w:lvlJc w:val="left"/>
      <w:pPr>
        <w:ind w:left="6403" w:hanging="360"/>
      </w:pPr>
      <w:rPr>
        <w:rFonts w:ascii="Symbol" w:hAnsi="Symbol" w:hint="default"/>
      </w:rPr>
    </w:lvl>
    <w:lvl w:ilvl="7" w:tplc="278457B0" w:tentative="1">
      <w:start w:val="1"/>
      <w:numFmt w:val="bullet"/>
      <w:lvlText w:val="o"/>
      <w:lvlJc w:val="left"/>
      <w:pPr>
        <w:ind w:left="7123" w:hanging="360"/>
      </w:pPr>
      <w:rPr>
        <w:rFonts w:ascii="Courier New" w:hAnsi="Courier New" w:cs="Courier New" w:hint="default"/>
      </w:rPr>
    </w:lvl>
    <w:lvl w:ilvl="8" w:tplc="7E502BAE" w:tentative="1">
      <w:start w:val="1"/>
      <w:numFmt w:val="bullet"/>
      <w:lvlText w:val=""/>
      <w:lvlJc w:val="left"/>
      <w:pPr>
        <w:ind w:left="7843" w:hanging="360"/>
      </w:pPr>
      <w:rPr>
        <w:rFonts w:ascii="Wingdings" w:hAnsi="Wingdings" w:hint="default"/>
      </w:rPr>
    </w:lvl>
  </w:abstractNum>
  <w:abstractNum w:abstractNumId="13" w15:restartNumberingAfterBreak="0">
    <w:nsid w:val="47C75BDA"/>
    <w:multiLevelType w:val="hybridMultilevel"/>
    <w:tmpl w:val="8B1E8F12"/>
    <w:lvl w:ilvl="0" w:tplc="CAC0B9DC">
      <w:start w:val="1"/>
      <w:numFmt w:val="bullet"/>
      <w:pStyle w:val="R5bullet"/>
      <w:lvlText w:val=""/>
      <w:lvlJc w:val="left"/>
      <w:pPr>
        <w:ind w:left="1440" w:hanging="360"/>
      </w:pPr>
      <w:rPr>
        <w:rFonts w:ascii="Symbol" w:hAnsi="Symbol" w:hint="default"/>
      </w:rPr>
    </w:lvl>
    <w:lvl w:ilvl="1" w:tplc="CBF06F26" w:tentative="1">
      <w:start w:val="1"/>
      <w:numFmt w:val="bullet"/>
      <w:lvlText w:val="o"/>
      <w:lvlJc w:val="left"/>
      <w:pPr>
        <w:ind w:left="2160" w:hanging="360"/>
      </w:pPr>
      <w:rPr>
        <w:rFonts w:ascii="Courier New" w:hAnsi="Courier New" w:cs="Courier New" w:hint="default"/>
      </w:rPr>
    </w:lvl>
    <w:lvl w:ilvl="2" w:tplc="A68833C6" w:tentative="1">
      <w:start w:val="1"/>
      <w:numFmt w:val="bullet"/>
      <w:lvlText w:val=""/>
      <w:lvlJc w:val="left"/>
      <w:pPr>
        <w:ind w:left="2880" w:hanging="360"/>
      </w:pPr>
      <w:rPr>
        <w:rFonts w:ascii="Wingdings" w:hAnsi="Wingdings" w:hint="default"/>
      </w:rPr>
    </w:lvl>
    <w:lvl w:ilvl="3" w:tplc="88EC3EE8" w:tentative="1">
      <w:start w:val="1"/>
      <w:numFmt w:val="bullet"/>
      <w:lvlText w:val=""/>
      <w:lvlJc w:val="left"/>
      <w:pPr>
        <w:ind w:left="3600" w:hanging="360"/>
      </w:pPr>
      <w:rPr>
        <w:rFonts w:ascii="Symbol" w:hAnsi="Symbol" w:hint="default"/>
      </w:rPr>
    </w:lvl>
    <w:lvl w:ilvl="4" w:tplc="DDACBFE6" w:tentative="1">
      <w:start w:val="1"/>
      <w:numFmt w:val="bullet"/>
      <w:lvlText w:val="o"/>
      <w:lvlJc w:val="left"/>
      <w:pPr>
        <w:ind w:left="4320" w:hanging="360"/>
      </w:pPr>
      <w:rPr>
        <w:rFonts w:ascii="Courier New" w:hAnsi="Courier New" w:cs="Courier New" w:hint="default"/>
      </w:rPr>
    </w:lvl>
    <w:lvl w:ilvl="5" w:tplc="670E05E6" w:tentative="1">
      <w:start w:val="1"/>
      <w:numFmt w:val="bullet"/>
      <w:lvlText w:val=""/>
      <w:lvlJc w:val="left"/>
      <w:pPr>
        <w:ind w:left="5040" w:hanging="360"/>
      </w:pPr>
      <w:rPr>
        <w:rFonts w:ascii="Wingdings" w:hAnsi="Wingdings" w:hint="default"/>
      </w:rPr>
    </w:lvl>
    <w:lvl w:ilvl="6" w:tplc="886E8542" w:tentative="1">
      <w:start w:val="1"/>
      <w:numFmt w:val="bullet"/>
      <w:lvlText w:val=""/>
      <w:lvlJc w:val="left"/>
      <w:pPr>
        <w:ind w:left="5760" w:hanging="360"/>
      </w:pPr>
      <w:rPr>
        <w:rFonts w:ascii="Symbol" w:hAnsi="Symbol" w:hint="default"/>
      </w:rPr>
    </w:lvl>
    <w:lvl w:ilvl="7" w:tplc="A32C731A" w:tentative="1">
      <w:start w:val="1"/>
      <w:numFmt w:val="bullet"/>
      <w:lvlText w:val="o"/>
      <w:lvlJc w:val="left"/>
      <w:pPr>
        <w:ind w:left="6480" w:hanging="360"/>
      </w:pPr>
      <w:rPr>
        <w:rFonts w:ascii="Courier New" w:hAnsi="Courier New" w:cs="Courier New" w:hint="default"/>
      </w:rPr>
    </w:lvl>
    <w:lvl w:ilvl="8" w:tplc="11DA27D0" w:tentative="1">
      <w:start w:val="1"/>
      <w:numFmt w:val="bullet"/>
      <w:lvlText w:val=""/>
      <w:lvlJc w:val="left"/>
      <w:pPr>
        <w:ind w:left="7200" w:hanging="360"/>
      </w:pPr>
      <w:rPr>
        <w:rFonts w:ascii="Wingdings" w:hAnsi="Wingdings" w:hint="default"/>
      </w:rPr>
    </w:lvl>
  </w:abstractNum>
  <w:abstractNum w:abstractNumId="14" w15:restartNumberingAfterBreak="0">
    <w:nsid w:val="52457781"/>
    <w:multiLevelType w:val="hybridMultilevel"/>
    <w:tmpl w:val="B02E4626"/>
    <w:lvl w:ilvl="0" w:tplc="EA56830E">
      <w:start w:val="1"/>
      <w:numFmt w:val="bullet"/>
      <w:lvlText w:val=""/>
      <w:lvlJc w:val="left"/>
      <w:pPr>
        <w:ind w:left="1492" w:hanging="360"/>
      </w:pPr>
      <w:rPr>
        <w:rFonts w:ascii="Symbol" w:hAnsi="Symbol" w:hint="default"/>
      </w:rPr>
    </w:lvl>
    <w:lvl w:ilvl="1" w:tplc="11B4A326" w:tentative="1">
      <w:start w:val="1"/>
      <w:numFmt w:val="bullet"/>
      <w:lvlText w:val="o"/>
      <w:lvlJc w:val="left"/>
      <w:pPr>
        <w:ind w:left="2212" w:hanging="360"/>
      </w:pPr>
      <w:rPr>
        <w:rFonts w:ascii="Courier New" w:hAnsi="Courier New" w:cs="Courier New" w:hint="default"/>
      </w:rPr>
    </w:lvl>
    <w:lvl w:ilvl="2" w:tplc="7D38609E" w:tentative="1">
      <w:start w:val="1"/>
      <w:numFmt w:val="bullet"/>
      <w:lvlText w:val=""/>
      <w:lvlJc w:val="left"/>
      <w:pPr>
        <w:ind w:left="2932" w:hanging="360"/>
      </w:pPr>
      <w:rPr>
        <w:rFonts w:ascii="Wingdings" w:hAnsi="Wingdings" w:hint="default"/>
      </w:rPr>
    </w:lvl>
    <w:lvl w:ilvl="3" w:tplc="1428C1C2" w:tentative="1">
      <w:start w:val="1"/>
      <w:numFmt w:val="bullet"/>
      <w:lvlText w:val=""/>
      <w:lvlJc w:val="left"/>
      <w:pPr>
        <w:ind w:left="3652" w:hanging="360"/>
      </w:pPr>
      <w:rPr>
        <w:rFonts w:ascii="Symbol" w:hAnsi="Symbol" w:hint="default"/>
      </w:rPr>
    </w:lvl>
    <w:lvl w:ilvl="4" w:tplc="C8B432EC" w:tentative="1">
      <w:start w:val="1"/>
      <w:numFmt w:val="bullet"/>
      <w:lvlText w:val="o"/>
      <w:lvlJc w:val="left"/>
      <w:pPr>
        <w:ind w:left="4372" w:hanging="360"/>
      </w:pPr>
      <w:rPr>
        <w:rFonts w:ascii="Courier New" w:hAnsi="Courier New" w:cs="Courier New" w:hint="default"/>
      </w:rPr>
    </w:lvl>
    <w:lvl w:ilvl="5" w:tplc="DACA2194" w:tentative="1">
      <w:start w:val="1"/>
      <w:numFmt w:val="bullet"/>
      <w:lvlText w:val=""/>
      <w:lvlJc w:val="left"/>
      <w:pPr>
        <w:ind w:left="5092" w:hanging="360"/>
      </w:pPr>
      <w:rPr>
        <w:rFonts w:ascii="Wingdings" w:hAnsi="Wingdings" w:hint="default"/>
      </w:rPr>
    </w:lvl>
    <w:lvl w:ilvl="6" w:tplc="845AFEFE" w:tentative="1">
      <w:start w:val="1"/>
      <w:numFmt w:val="bullet"/>
      <w:lvlText w:val=""/>
      <w:lvlJc w:val="left"/>
      <w:pPr>
        <w:ind w:left="5812" w:hanging="360"/>
      </w:pPr>
      <w:rPr>
        <w:rFonts w:ascii="Symbol" w:hAnsi="Symbol" w:hint="default"/>
      </w:rPr>
    </w:lvl>
    <w:lvl w:ilvl="7" w:tplc="0B946BB4" w:tentative="1">
      <w:start w:val="1"/>
      <w:numFmt w:val="bullet"/>
      <w:lvlText w:val="o"/>
      <w:lvlJc w:val="left"/>
      <w:pPr>
        <w:ind w:left="6532" w:hanging="360"/>
      </w:pPr>
      <w:rPr>
        <w:rFonts w:ascii="Courier New" w:hAnsi="Courier New" w:cs="Courier New" w:hint="default"/>
      </w:rPr>
    </w:lvl>
    <w:lvl w:ilvl="8" w:tplc="5BDEB1C2" w:tentative="1">
      <w:start w:val="1"/>
      <w:numFmt w:val="bullet"/>
      <w:lvlText w:val=""/>
      <w:lvlJc w:val="left"/>
      <w:pPr>
        <w:ind w:left="7252" w:hanging="360"/>
      </w:pPr>
      <w:rPr>
        <w:rFonts w:ascii="Wingdings" w:hAnsi="Wingdings" w:hint="default"/>
      </w:rPr>
    </w:lvl>
  </w:abstractNum>
  <w:abstractNum w:abstractNumId="15" w15:restartNumberingAfterBreak="0">
    <w:nsid w:val="52B23514"/>
    <w:multiLevelType w:val="multilevel"/>
    <w:tmpl w:val="B762B1D6"/>
    <w:lvl w:ilvl="0">
      <w:start w:val="1"/>
      <w:numFmt w:val="decimal"/>
      <w:pStyle w:val="ListParagraph"/>
      <w:lvlText w:val="%1"/>
      <w:lvlJc w:val="left"/>
      <w:pPr>
        <w:ind w:left="360" w:hanging="360"/>
      </w:pPr>
      <w:rPr>
        <w:rFonts w:ascii="Arial" w:hAnsi="Arial" w:cs="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rPr>
        <w:rFonts w:ascii="Arial" w:hAnsi="Arial"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69536897"/>
    <w:multiLevelType w:val="multilevel"/>
    <w:tmpl w:val="A8D6C1F2"/>
    <w:lvl w:ilvl="0">
      <w:start w:val="1"/>
      <w:numFmt w:val="decimal"/>
      <w:pStyle w:val="R1heading"/>
      <w:lvlText w:val="%1"/>
      <w:lvlJc w:val="left"/>
      <w:pPr>
        <w:ind w:left="567" w:hanging="567"/>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R3paragraph"/>
      <w:lvlText w:val="%1.%2"/>
      <w:lvlJc w:val="left"/>
      <w:pPr>
        <w:ind w:left="851" w:hanging="426"/>
      </w:pPr>
      <w:rPr>
        <w:rFonts w:ascii="Arial" w:hAnsi="Arial" w:hint="default"/>
        <w:b w:val="0"/>
        <w:i w:val="0"/>
        <w:caps w:val="0"/>
        <w:strike w:val="0"/>
        <w:dstrike w:val="0"/>
        <w:vanish w:val="0"/>
        <w:color w:val="auto"/>
        <w:sz w:val="24"/>
        <w:vertAlign w:val="baseline"/>
      </w:rPr>
    </w:lvl>
    <w:lvl w:ilvl="2">
      <w:start w:val="1"/>
      <w:numFmt w:val="lowerRoman"/>
      <w:pStyle w:val="R7thirdlevelparagraph"/>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CAE6F36"/>
    <w:multiLevelType w:val="multilevel"/>
    <w:tmpl w:val="6F522544"/>
    <w:styleLink w:val="Style1"/>
    <w:lvl w:ilvl="0">
      <w:start w:val="1"/>
      <w:numFmt w:val="decimal"/>
      <w:lvlText w:val="%1."/>
      <w:lvlJc w:val="left"/>
      <w:pPr>
        <w:ind w:left="425" w:hanging="425"/>
      </w:pPr>
      <w:rPr>
        <w:rFonts w:ascii="Arial" w:hAnsi="Arial"/>
        <w:b w:val="0"/>
        <w:i w:val="0"/>
        <w:caps w:val="0"/>
        <w:smallCaps w:val="0"/>
        <w:strike w:val="0"/>
        <w:dstrike w:val="0"/>
        <w:vanish w:val="0"/>
        <w:color w:val="auto"/>
        <w:sz w:val="24"/>
        <w:szCs w:val="28"/>
        <w:vertAlign w:val="baseline"/>
      </w:rPr>
    </w:lvl>
    <w:lvl w:ilvl="1">
      <w:start w:val="1"/>
      <w:numFmt w:val="decimal"/>
      <w:lvlText w:val="%1.%2"/>
      <w:lvlJc w:val="left"/>
      <w:pPr>
        <w:ind w:left="851" w:hanging="426"/>
      </w:pPr>
      <w:rPr>
        <w:rFonts w:ascii="Arial" w:hAnsi="Arial" w:hint="default"/>
        <w:b w:val="0"/>
        <w:i w:val="0"/>
        <w:caps w:val="0"/>
        <w:strike w:val="0"/>
        <w:dstrike w:val="0"/>
        <w:vanish w:val="0"/>
        <w:color w:val="auto"/>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FF35EF6"/>
    <w:multiLevelType w:val="multilevel"/>
    <w:tmpl w:val="C73CFDD0"/>
    <w:lvl w:ilvl="0">
      <w:start w:val="1"/>
      <w:numFmt w:val="decimal"/>
      <w:lvlText w:val="%1."/>
      <w:lvlJc w:val="left"/>
      <w:pPr>
        <w:ind w:left="425" w:hanging="425"/>
      </w:pPr>
      <w:rPr>
        <w:rFonts w:ascii="Arial" w:hAnsi="Arial" w:hint="default"/>
        <w:b w:val="0"/>
        <w:i w:val="0"/>
        <w:caps w:val="0"/>
        <w:smallCaps w:val="0"/>
        <w:strike w:val="0"/>
        <w:dstrike w:val="0"/>
        <w:vanish w:val="0"/>
        <w:color w:val="auto"/>
        <w:sz w:val="24"/>
        <w:szCs w:val="28"/>
        <w:vertAlign w:val="baseline"/>
      </w:rPr>
    </w:lvl>
    <w:lvl w:ilvl="1">
      <w:start w:val="1"/>
      <w:numFmt w:val="decimal"/>
      <w:lvlText w:val="%1.%2"/>
      <w:lvlJc w:val="left"/>
      <w:pPr>
        <w:ind w:left="567" w:hanging="567"/>
      </w:pPr>
      <w:rPr>
        <w:rFonts w:ascii="Arial" w:hAnsi="Arial" w:hint="default"/>
        <w:b w:val="0"/>
        <w:i w:val="0"/>
        <w:caps w:val="0"/>
        <w:strike w:val="0"/>
        <w:dstrike w:val="0"/>
        <w:vanish w:val="0"/>
        <w:color w:val="auto"/>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6"/>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0"/>
  </w:num>
  <w:num w:numId="13">
    <w:abstractNumId w:val="17"/>
  </w:num>
  <w:num w:numId="14">
    <w:abstractNumId w:val="18"/>
  </w:num>
  <w:num w:numId="15">
    <w:abstractNumId w:val="13"/>
  </w:num>
  <w:num w:numId="16">
    <w:abstractNumId w:val="16"/>
    <w:lvlOverride w:ilvl="0">
      <w:lvl w:ilvl="0">
        <w:start w:val="1"/>
        <w:numFmt w:val="decimal"/>
        <w:pStyle w:val="R1heading"/>
        <w:lvlText w:val="%1."/>
        <w:lvlJc w:val="left"/>
        <w:pPr>
          <w:ind w:left="567"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Override>
    <w:lvlOverride w:ilvl="1">
      <w:lvl w:ilvl="1">
        <w:start w:val="1"/>
        <w:numFmt w:val="decimal"/>
        <w:pStyle w:val="R3paragraph"/>
        <w:lvlText w:val="%1.%2"/>
        <w:lvlJc w:val="left"/>
        <w:pPr>
          <w:ind w:left="567" w:hanging="567"/>
        </w:pPr>
        <w:rPr>
          <w:rFonts w:ascii="Arial" w:hAnsi="Arial" w:hint="default"/>
          <w:b w:val="0"/>
          <w:i w:val="0"/>
          <w:caps w:val="0"/>
          <w:strike w:val="0"/>
          <w:dstrike w:val="0"/>
          <w:vanish w:val="0"/>
          <w:color w:val="auto"/>
          <w:sz w:val="24"/>
          <w:vertAlign w:val="baseline"/>
        </w:rPr>
      </w:lvl>
    </w:lvlOverride>
    <w:lvlOverride w:ilvl="2">
      <w:lvl w:ilvl="2">
        <w:start w:val="1"/>
        <w:numFmt w:val="lowerRoman"/>
        <w:pStyle w:val="R7thirdlevelparagraph"/>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16"/>
    <w:lvlOverride w:ilvl="0">
      <w:lvl w:ilvl="0">
        <w:start w:val="1"/>
        <w:numFmt w:val="decimal"/>
        <w:pStyle w:val="R1heading"/>
        <w:lvlText w:val="%1."/>
        <w:lvlJc w:val="left"/>
        <w:pPr>
          <w:ind w:left="567"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Override>
    <w:lvlOverride w:ilvl="1">
      <w:lvl w:ilvl="1">
        <w:start w:val="1"/>
        <w:numFmt w:val="decimal"/>
        <w:pStyle w:val="R3paragraph"/>
        <w:lvlText w:val="%1.%2"/>
        <w:lvlJc w:val="left"/>
        <w:pPr>
          <w:ind w:left="567" w:hanging="567"/>
        </w:pPr>
        <w:rPr>
          <w:rFonts w:ascii="Arial" w:hAnsi="Arial" w:hint="default"/>
          <w:b w:val="0"/>
          <w:i w:val="0"/>
          <w:caps w:val="0"/>
          <w:strike w:val="0"/>
          <w:dstrike w:val="0"/>
          <w:vanish w:val="0"/>
          <w:color w:val="auto"/>
          <w:sz w:val="24"/>
          <w:vertAlign w:val="baseline"/>
        </w:rPr>
      </w:lvl>
    </w:lvlOverride>
    <w:lvlOverride w:ilvl="2">
      <w:lvl w:ilvl="2">
        <w:start w:val="1"/>
        <w:numFmt w:val="lowerRoman"/>
        <w:pStyle w:val="R7thirdlevelparagraph"/>
        <w:lvlText w:val="%3)"/>
        <w:lvlJc w:val="left"/>
        <w:pPr>
          <w:ind w:left="1134" w:hanging="283"/>
        </w:pPr>
        <w:rPr>
          <w:rFonts w:ascii="Arial" w:hAnsi="Arial" w:hint="default"/>
          <w:b w:val="0"/>
          <w:i w:val="0"/>
          <w:caps w:val="0"/>
          <w:strike w:val="0"/>
          <w:dstrike w:val="0"/>
          <w:vanish w:val="0"/>
          <w:color w:val="auto"/>
          <w:sz w:val="24"/>
          <w:vertAlign w:val="baseline"/>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18"/>
  </w:num>
  <w:num w:numId="19">
    <w:abstractNumId w:val="18"/>
  </w:num>
  <w:num w:numId="20">
    <w:abstractNumId w:val="11"/>
  </w:num>
  <w:num w:numId="21">
    <w:abstractNumId w:val="15"/>
  </w:num>
  <w:num w:numId="22">
    <w:abstractNumId w:val="14"/>
  </w:num>
  <w:num w:numId="23">
    <w:abstractNumId w:val="1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345"/>
    <w:rsid w:val="003A31BE"/>
    <w:rsid w:val="00B33345"/>
    <w:rsid w:val="00F447AC"/>
    <w:rsid w:val="00F62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E45F65D3-302E-44F7-9BD3-C64FDA1A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87E41"/>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rsid w:val="00F02DC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uthstandard">
    <w:name w:val="Ruth standard"/>
    <w:uiPriority w:val="99"/>
    <w:rsid w:val="00130762"/>
    <w:pPr>
      <w:numPr>
        <w:numId w:val="1"/>
      </w:numPr>
    </w:pPr>
  </w:style>
  <w:style w:type="paragraph" w:customStyle="1" w:styleId="R0title">
    <w:name w:val="R0 title"/>
    <w:basedOn w:val="Heading1"/>
    <w:link w:val="R0titleChar"/>
    <w:autoRedefine/>
    <w:qFormat/>
    <w:rsid w:val="00B80983"/>
    <w:pPr>
      <w:spacing w:after="240"/>
    </w:pPr>
    <w:rPr>
      <w:rFonts w:ascii="Arial" w:hAnsi="Arial" w:cs="Arial"/>
      <w:b/>
      <w:color w:val="auto"/>
      <w:szCs w:val="24"/>
    </w:rPr>
  </w:style>
  <w:style w:type="paragraph" w:customStyle="1" w:styleId="R1heading">
    <w:name w:val="R1 heading"/>
    <w:basedOn w:val="Subtitle"/>
    <w:link w:val="R1headingChar"/>
    <w:autoRedefine/>
    <w:qFormat/>
    <w:rsid w:val="00951213"/>
    <w:pPr>
      <w:numPr>
        <w:ilvl w:val="0"/>
        <w:numId w:val="3"/>
      </w:numPr>
      <w:spacing w:before="240" w:after="120"/>
    </w:pPr>
    <w:rPr>
      <w:b/>
      <w:color w:val="auto"/>
      <w:spacing w:val="0"/>
      <w:sz w:val="28"/>
    </w:rPr>
  </w:style>
  <w:style w:type="character" w:customStyle="1" w:styleId="Heading1Char">
    <w:name w:val="Heading 1 Char"/>
    <w:basedOn w:val="DefaultParagraphFont"/>
    <w:link w:val="Heading1"/>
    <w:uiPriority w:val="9"/>
    <w:rsid w:val="00F02DC5"/>
    <w:rPr>
      <w:rFonts w:asciiTheme="majorHAnsi" w:eastAsiaTheme="majorEastAsia" w:hAnsiTheme="majorHAnsi" w:cstheme="majorBidi"/>
      <w:color w:val="2E74B5" w:themeColor="accent1" w:themeShade="BF"/>
      <w:sz w:val="32"/>
      <w:szCs w:val="32"/>
    </w:rPr>
  </w:style>
  <w:style w:type="character" w:customStyle="1" w:styleId="R0titleChar">
    <w:name w:val="R0 title Char"/>
    <w:basedOn w:val="Heading1Char"/>
    <w:link w:val="R0title"/>
    <w:rsid w:val="00B80983"/>
    <w:rPr>
      <w:rFonts w:ascii="Arial" w:eastAsiaTheme="majorEastAsia" w:hAnsi="Arial" w:cs="Arial"/>
      <w:b/>
      <w:color w:val="2E74B5" w:themeColor="accent1" w:themeShade="BF"/>
      <w:sz w:val="32"/>
      <w:szCs w:val="24"/>
    </w:rPr>
  </w:style>
  <w:style w:type="paragraph" w:customStyle="1" w:styleId="Rnumberedparagraph">
    <w:name w:val="R numbered paragraph"/>
    <w:basedOn w:val="R3paragraph"/>
    <w:link w:val="RnumberedparagraphChar"/>
    <w:autoRedefine/>
    <w:rsid w:val="00D87E41"/>
  </w:style>
  <w:style w:type="paragraph" w:styleId="Subtitle">
    <w:name w:val="Subtitle"/>
    <w:basedOn w:val="Normal"/>
    <w:next w:val="Normal"/>
    <w:link w:val="SubtitleChar"/>
    <w:uiPriority w:val="11"/>
    <w:rsid w:val="008872C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872C9"/>
    <w:rPr>
      <w:rFonts w:eastAsiaTheme="minorEastAsia"/>
      <w:color w:val="5A5A5A" w:themeColor="text1" w:themeTint="A5"/>
      <w:spacing w:val="15"/>
    </w:rPr>
  </w:style>
  <w:style w:type="character" w:customStyle="1" w:styleId="R1headingChar">
    <w:name w:val="R1 heading Char"/>
    <w:basedOn w:val="SubtitleChar"/>
    <w:link w:val="R1heading"/>
    <w:rsid w:val="00951213"/>
    <w:rPr>
      <w:rFonts w:ascii="Arial" w:eastAsiaTheme="minorEastAsia" w:hAnsi="Arial"/>
      <w:b/>
      <w:color w:val="5A5A5A" w:themeColor="text1" w:themeTint="A5"/>
      <w:spacing w:val="15"/>
      <w:sz w:val="28"/>
    </w:rPr>
  </w:style>
  <w:style w:type="numbering" w:customStyle="1" w:styleId="Style1">
    <w:name w:val="Style1"/>
    <w:uiPriority w:val="99"/>
    <w:rsid w:val="00873C5A"/>
    <w:pPr>
      <w:numPr>
        <w:numId w:val="13"/>
      </w:numPr>
    </w:pPr>
  </w:style>
  <w:style w:type="paragraph" w:styleId="ListNumber">
    <w:name w:val="List Number"/>
    <w:basedOn w:val="Normal"/>
    <w:link w:val="ListNumberChar"/>
    <w:uiPriority w:val="99"/>
    <w:semiHidden/>
    <w:unhideWhenUsed/>
    <w:rsid w:val="008872C9"/>
    <w:pPr>
      <w:contextualSpacing/>
    </w:pPr>
  </w:style>
  <w:style w:type="character" w:customStyle="1" w:styleId="ListNumberChar">
    <w:name w:val="List Number Char"/>
    <w:basedOn w:val="DefaultParagraphFont"/>
    <w:link w:val="ListNumber"/>
    <w:uiPriority w:val="99"/>
    <w:semiHidden/>
    <w:rsid w:val="008872C9"/>
  </w:style>
  <w:style w:type="character" w:customStyle="1" w:styleId="RnumberedparagraphChar">
    <w:name w:val="R numbered paragraph Char"/>
    <w:basedOn w:val="ListNumberChar"/>
    <w:link w:val="Rnumberedparagraph"/>
    <w:rsid w:val="00D87E41"/>
    <w:rPr>
      <w:rFonts w:ascii="Arial" w:eastAsiaTheme="minorEastAsia" w:hAnsi="Arial" w:cs="Times New Roman"/>
      <w:sz w:val="24"/>
      <w:szCs w:val="24"/>
      <w:lang w:eastAsia="en-GB"/>
    </w:rPr>
  </w:style>
  <w:style w:type="paragraph" w:customStyle="1" w:styleId="R5bullet">
    <w:name w:val="R5 bullet"/>
    <w:basedOn w:val="ListBullet"/>
    <w:link w:val="R5bulletChar"/>
    <w:autoRedefine/>
    <w:qFormat/>
    <w:rsid w:val="00CD7D7B"/>
    <w:pPr>
      <w:numPr>
        <w:numId w:val="15"/>
      </w:numPr>
      <w:spacing w:before="120"/>
      <w:ind w:left="1135" w:hanging="284"/>
    </w:pPr>
    <w:rPr>
      <w:rFonts w:ascii="Arial" w:hAnsi="Arial"/>
      <w:sz w:val="24"/>
    </w:rPr>
  </w:style>
  <w:style w:type="paragraph" w:customStyle="1" w:styleId="R4blankparagraph">
    <w:name w:val="R4 blank paragraph"/>
    <w:basedOn w:val="Rnumberedparagraph"/>
    <w:link w:val="R4blankparagraphChar"/>
    <w:autoRedefine/>
    <w:qFormat/>
    <w:rsid w:val="000D1344"/>
    <w:pPr>
      <w:numPr>
        <w:ilvl w:val="0"/>
        <w:numId w:val="0"/>
      </w:numPr>
    </w:pPr>
  </w:style>
  <w:style w:type="character" w:customStyle="1" w:styleId="R5bulletChar">
    <w:name w:val="R5 bullet Char"/>
    <w:basedOn w:val="RnumberedparagraphChar"/>
    <w:link w:val="R5bullet"/>
    <w:rsid w:val="00CD7D7B"/>
    <w:rPr>
      <w:rFonts w:ascii="Arial" w:eastAsia="Times New Roman" w:hAnsi="Arial" w:cs="Times New Roman"/>
      <w:sz w:val="24"/>
      <w:szCs w:val="24"/>
      <w:lang w:eastAsia="en-GB"/>
    </w:rPr>
  </w:style>
  <w:style w:type="paragraph" w:customStyle="1" w:styleId="R3paragraph">
    <w:name w:val="R3 paragraph"/>
    <w:basedOn w:val="R1heading"/>
    <w:link w:val="R3paragraphChar"/>
    <w:qFormat/>
    <w:rsid w:val="0017397E"/>
    <w:pPr>
      <w:numPr>
        <w:ilvl w:val="1"/>
      </w:numPr>
      <w:spacing w:before="120"/>
      <w:ind w:left="567" w:hanging="567"/>
    </w:pPr>
    <w:rPr>
      <w:b w:val="0"/>
      <w:sz w:val="24"/>
    </w:rPr>
  </w:style>
  <w:style w:type="character" w:customStyle="1" w:styleId="R4blankparagraphChar">
    <w:name w:val="R4 blank paragraph Char"/>
    <w:basedOn w:val="RnumberedparagraphChar"/>
    <w:link w:val="R4blankparagraph"/>
    <w:rsid w:val="000D1344"/>
    <w:rPr>
      <w:rFonts w:ascii="Arial" w:eastAsiaTheme="minorEastAsia" w:hAnsi="Arial" w:cs="Times New Roman"/>
      <w:sz w:val="24"/>
      <w:szCs w:val="24"/>
      <w:lang w:eastAsia="en-GB"/>
    </w:rPr>
  </w:style>
  <w:style w:type="paragraph" w:customStyle="1" w:styleId="Style2">
    <w:name w:val="Style2"/>
    <w:basedOn w:val="R1heading"/>
    <w:next w:val="R3paragraph"/>
    <w:rsid w:val="00A23158"/>
    <w:pPr>
      <w:numPr>
        <w:numId w:val="0"/>
      </w:numPr>
      <w:ind w:left="851" w:hanging="426"/>
    </w:pPr>
    <w:rPr>
      <w:b w:val="0"/>
    </w:rPr>
  </w:style>
  <w:style w:type="paragraph" w:customStyle="1" w:styleId="R7thirdlevelparagraph">
    <w:name w:val="R7 third level paragraph"/>
    <w:basedOn w:val="R3paragraph"/>
    <w:link w:val="R7thirdlevelparagraphChar"/>
    <w:autoRedefine/>
    <w:qFormat/>
    <w:rsid w:val="00FB51F3"/>
    <w:pPr>
      <w:numPr>
        <w:ilvl w:val="2"/>
      </w:numPr>
    </w:pPr>
  </w:style>
  <w:style w:type="character" w:customStyle="1" w:styleId="R3paragraphChar">
    <w:name w:val="R3 paragraph Char"/>
    <w:basedOn w:val="R1headingChar"/>
    <w:link w:val="R3paragraph"/>
    <w:rsid w:val="0017397E"/>
    <w:rPr>
      <w:rFonts w:ascii="Arial" w:eastAsiaTheme="minorEastAsia" w:hAnsi="Arial"/>
      <w:b w:val="0"/>
      <w:color w:val="5A5A5A" w:themeColor="text1" w:themeTint="A5"/>
      <w:spacing w:val="15"/>
      <w:sz w:val="24"/>
    </w:rPr>
  </w:style>
  <w:style w:type="character" w:customStyle="1" w:styleId="R7thirdlevelparagraphChar">
    <w:name w:val="R7 third level paragraph Char"/>
    <w:basedOn w:val="R3paragraphChar"/>
    <w:link w:val="R7thirdlevelparagraph"/>
    <w:rsid w:val="00FB51F3"/>
    <w:rPr>
      <w:rFonts w:ascii="Arial" w:eastAsiaTheme="minorEastAsia" w:hAnsi="Arial"/>
      <w:b w:val="0"/>
      <w:color w:val="5A5A5A" w:themeColor="text1" w:themeTint="A5"/>
      <w:spacing w:val="15"/>
      <w:sz w:val="24"/>
    </w:rPr>
  </w:style>
  <w:style w:type="paragraph" w:customStyle="1" w:styleId="R8quotation">
    <w:name w:val="R8 quotation"/>
    <w:basedOn w:val="R4blankparagraph"/>
    <w:link w:val="R8quotationChar"/>
    <w:qFormat/>
    <w:rsid w:val="000D1344"/>
    <w:pPr>
      <w:ind w:left="567"/>
    </w:pPr>
  </w:style>
  <w:style w:type="paragraph" w:customStyle="1" w:styleId="R2sub-heading">
    <w:name w:val="R2 sub-heading"/>
    <w:basedOn w:val="R3paragraph"/>
    <w:link w:val="R2sub-headingChar"/>
    <w:autoRedefine/>
    <w:qFormat/>
    <w:rsid w:val="00D30A41"/>
    <w:pPr>
      <w:numPr>
        <w:ilvl w:val="0"/>
        <w:numId w:val="0"/>
      </w:numPr>
      <w:ind w:left="567"/>
    </w:pPr>
    <w:rPr>
      <w:b/>
    </w:rPr>
  </w:style>
  <w:style w:type="character" w:customStyle="1" w:styleId="R8quotationChar">
    <w:name w:val="R8 quotation Char"/>
    <w:basedOn w:val="R4blankparagraphChar"/>
    <w:link w:val="R8quotation"/>
    <w:rsid w:val="000D1344"/>
    <w:rPr>
      <w:rFonts w:ascii="Arial" w:eastAsiaTheme="minorEastAsia" w:hAnsi="Arial" w:cs="Times New Roman"/>
      <w:sz w:val="24"/>
      <w:szCs w:val="24"/>
      <w:lang w:eastAsia="en-GB"/>
    </w:rPr>
  </w:style>
  <w:style w:type="character" w:customStyle="1" w:styleId="R2sub-headingChar">
    <w:name w:val="R2 sub-heading Char"/>
    <w:basedOn w:val="R3paragraphChar"/>
    <w:link w:val="R2sub-heading"/>
    <w:rsid w:val="00D30A41"/>
    <w:rPr>
      <w:rFonts w:ascii="Arial" w:eastAsiaTheme="minorEastAsia" w:hAnsi="Arial"/>
      <w:b/>
      <w:color w:val="5A5A5A" w:themeColor="text1" w:themeTint="A5"/>
      <w:spacing w:val="15"/>
      <w:sz w:val="24"/>
    </w:rPr>
  </w:style>
  <w:style w:type="paragraph" w:styleId="Header">
    <w:name w:val="header"/>
    <w:basedOn w:val="Normal"/>
    <w:link w:val="HeaderChar"/>
    <w:uiPriority w:val="99"/>
    <w:unhideWhenUsed/>
    <w:rsid w:val="005A6CDB"/>
    <w:pPr>
      <w:tabs>
        <w:tab w:val="center" w:pos="4513"/>
        <w:tab w:val="right" w:pos="9026"/>
      </w:tabs>
    </w:pPr>
  </w:style>
  <w:style w:type="character" w:customStyle="1" w:styleId="HeaderChar">
    <w:name w:val="Header Char"/>
    <w:basedOn w:val="DefaultParagraphFont"/>
    <w:link w:val="Header"/>
    <w:uiPriority w:val="99"/>
    <w:rsid w:val="005A6CDB"/>
  </w:style>
  <w:style w:type="paragraph" w:styleId="Footer">
    <w:name w:val="footer"/>
    <w:basedOn w:val="Normal"/>
    <w:link w:val="FooterChar"/>
    <w:uiPriority w:val="99"/>
    <w:unhideWhenUsed/>
    <w:rsid w:val="005A6CDB"/>
    <w:pPr>
      <w:tabs>
        <w:tab w:val="center" w:pos="4513"/>
        <w:tab w:val="right" w:pos="9026"/>
      </w:tabs>
    </w:pPr>
  </w:style>
  <w:style w:type="character" w:customStyle="1" w:styleId="FooterChar">
    <w:name w:val="Footer Char"/>
    <w:basedOn w:val="DefaultParagraphFont"/>
    <w:link w:val="Footer"/>
    <w:uiPriority w:val="99"/>
    <w:rsid w:val="005A6CDB"/>
  </w:style>
  <w:style w:type="paragraph" w:styleId="ListParagraph">
    <w:name w:val="List Paragraph"/>
    <w:basedOn w:val="Normal"/>
    <w:link w:val="ListParagraphChar"/>
    <w:uiPriority w:val="34"/>
    <w:qFormat/>
    <w:rsid w:val="00D87E41"/>
    <w:pPr>
      <w:numPr>
        <w:numId w:val="21"/>
      </w:numPr>
      <w:spacing w:before="60" w:after="60"/>
      <w:contextualSpacing/>
    </w:pPr>
  </w:style>
  <w:style w:type="paragraph" w:styleId="ListBullet">
    <w:name w:val="List Bullet"/>
    <w:basedOn w:val="Normal"/>
    <w:rsid w:val="00D87E41"/>
    <w:pPr>
      <w:tabs>
        <w:tab w:val="num" w:pos="360"/>
      </w:tabs>
      <w:spacing w:after="120"/>
      <w:ind w:left="360" w:hanging="360"/>
    </w:pPr>
    <w:rPr>
      <w:rFonts w:ascii="Verdana" w:hAnsi="Verdana"/>
      <w:sz w:val="20"/>
    </w:rPr>
  </w:style>
  <w:style w:type="character" w:customStyle="1" w:styleId="ListParagraphChar">
    <w:name w:val="List Paragraph Char"/>
    <w:link w:val="ListParagraph"/>
    <w:uiPriority w:val="34"/>
    <w:rsid w:val="00D87E41"/>
    <w:rPr>
      <w:rFonts w:ascii="Arial" w:eastAsia="Times New Roman" w:hAnsi="Arial" w:cs="Times New Roman"/>
      <w:sz w:val="24"/>
      <w:szCs w:val="24"/>
      <w:lang w:eastAsia="en-GB"/>
    </w:rPr>
  </w:style>
  <w:style w:type="paragraph" w:customStyle="1" w:styleId="R6sub-bullet">
    <w:name w:val="R6 sub-bullet"/>
    <w:basedOn w:val="ListBullet"/>
    <w:link w:val="R6sub-bulletChar"/>
    <w:qFormat/>
    <w:rsid w:val="00E42063"/>
    <w:pPr>
      <w:numPr>
        <w:numId w:val="23"/>
      </w:numPr>
      <w:ind w:left="1701" w:hanging="283"/>
    </w:pPr>
    <w:rPr>
      <w:rFonts w:ascii="Arial" w:hAnsi="Arial"/>
      <w:sz w:val="24"/>
    </w:rPr>
  </w:style>
  <w:style w:type="paragraph" w:customStyle="1" w:styleId="Style3">
    <w:name w:val="Style3"/>
    <w:basedOn w:val="R5bullet"/>
    <w:next w:val="R6sub-bullet"/>
    <w:rsid w:val="00500D84"/>
  </w:style>
  <w:style w:type="character" w:customStyle="1" w:styleId="R6sub-bulletChar">
    <w:name w:val="R6 sub-bullet Char"/>
    <w:basedOn w:val="R5bulletChar"/>
    <w:link w:val="R6sub-bullet"/>
    <w:rsid w:val="00E42063"/>
    <w:rPr>
      <w:rFonts w:ascii="Arial" w:eastAsia="Times New Roman" w:hAnsi="Arial" w:cs="Times New Roman"/>
      <w:sz w:val="24"/>
      <w:szCs w:val="24"/>
      <w:lang w:eastAsia="en-GB"/>
    </w:rPr>
  </w:style>
  <w:style w:type="paragraph" w:customStyle="1" w:styleId="Rheading">
    <w:name w:val="R heading"/>
    <w:basedOn w:val="Subtitle"/>
    <w:autoRedefine/>
    <w:qFormat/>
    <w:rsid w:val="00301ED2"/>
    <w:pPr>
      <w:numPr>
        <w:ilvl w:val="0"/>
      </w:numPr>
      <w:spacing w:before="240" w:after="120"/>
      <w:ind w:left="567" w:hanging="567"/>
    </w:pPr>
    <w:rPr>
      <w:rFonts w:cstheme="minorBidi"/>
      <w:b/>
      <w:color w:val="auto"/>
      <w:spacing w:val="0"/>
      <w:sz w:val="28"/>
      <w:szCs w:val="22"/>
      <w:lang w:eastAsia="en-US"/>
    </w:rPr>
  </w:style>
  <w:style w:type="paragraph" w:customStyle="1" w:styleId="Rparagraph">
    <w:name w:val="R paragraph"/>
    <w:basedOn w:val="Rheading"/>
    <w:link w:val="RparagraphChar"/>
    <w:qFormat/>
    <w:rsid w:val="00301ED2"/>
    <w:pPr>
      <w:spacing w:before="120"/>
    </w:pPr>
    <w:rPr>
      <w:b w:val="0"/>
      <w:sz w:val="24"/>
    </w:rPr>
  </w:style>
  <w:style w:type="paragraph" w:customStyle="1" w:styleId="Rthirdlevelparagraph">
    <w:name w:val="R third level paragraph"/>
    <w:basedOn w:val="Rparagraph"/>
    <w:autoRedefine/>
    <w:qFormat/>
    <w:rsid w:val="00301ED2"/>
    <w:pPr>
      <w:tabs>
        <w:tab w:val="num" w:pos="360"/>
      </w:tabs>
      <w:ind w:left="1224" w:hanging="504"/>
    </w:pPr>
  </w:style>
  <w:style w:type="character" w:customStyle="1" w:styleId="RparagraphChar">
    <w:name w:val="R paragraph Char"/>
    <w:basedOn w:val="DefaultParagraphFont"/>
    <w:link w:val="Rparagraph"/>
    <w:rsid w:val="00301ED2"/>
    <w:rPr>
      <w:rFonts w:ascii="Arial" w:eastAsiaTheme="minorEastAsia" w:hAnsi="Arial"/>
      <w:sz w:val="24"/>
    </w:rPr>
  </w:style>
  <w:style w:type="table" w:styleId="TableGrid">
    <w:name w:val="Table Grid"/>
    <w:basedOn w:val="TableNormal"/>
    <w:rsid w:val="00301ED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55F7"/>
    <w:rPr>
      <w:sz w:val="16"/>
      <w:szCs w:val="16"/>
    </w:rPr>
  </w:style>
  <w:style w:type="paragraph" w:styleId="CommentText">
    <w:name w:val="annotation text"/>
    <w:basedOn w:val="Normal"/>
    <w:link w:val="CommentTextChar"/>
    <w:uiPriority w:val="99"/>
    <w:semiHidden/>
    <w:unhideWhenUsed/>
    <w:rsid w:val="008955F7"/>
    <w:rPr>
      <w:sz w:val="20"/>
      <w:szCs w:val="20"/>
    </w:rPr>
  </w:style>
  <w:style w:type="character" w:customStyle="1" w:styleId="CommentTextChar">
    <w:name w:val="Comment Text Char"/>
    <w:basedOn w:val="DefaultParagraphFont"/>
    <w:link w:val="CommentText"/>
    <w:uiPriority w:val="99"/>
    <w:semiHidden/>
    <w:rsid w:val="008955F7"/>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955F7"/>
    <w:rPr>
      <w:b/>
      <w:bCs/>
    </w:rPr>
  </w:style>
  <w:style w:type="character" w:customStyle="1" w:styleId="CommentSubjectChar">
    <w:name w:val="Comment Subject Char"/>
    <w:basedOn w:val="CommentTextChar"/>
    <w:link w:val="CommentSubject"/>
    <w:uiPriority w:val="99"/>
    <w:semiHidden/>
    <w:rsid w:val="008955F7"/>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8955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5F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Lowry, Ruth</dc:creator>
  <cp:lastModifiedBy>Neville, Mike</cp:lastModifiedBy>
  <cp:revision>19</cp:revision>
  <dcterms:created xsi:type="dcterms:W3CDTF">2019-07-30T15:16:00Z</dcterms:created>
  <dcterms:modified xsi:type="dcterms:W3CDTF">2019-09-09T13:06:00Z</dcterms:modified>
</cp:coreProperties>
</file>